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08F9" w:rsidRDefault="00CC08F9" w:rsidP="00CC08F9">
      <w:pPr>
        <w:spacing w:line="276" w:lineRule="auto"/>
        <w:ind w:firstLine="709"/>
        <w:contextualSpacing/>
        <w:jc w:val="both"/>
        <w:rPr>
          <w:i/>
          <w:noProof/>
          <w:lang w:eastAsia="ru-RU"/>
        </w:rPr>
      </w:pPr>
      <w:r w:rsidRPr="009576F5">
        <w:rPr>
          <w:i/>
        </w:rPr>
        <w:t>«</w:t>
      </w:r>
      <w:r>
        <w:rPr>
          <w:i/>
          <w:noProof/>
          <w:lang w:eastAsia="ru-RU"/>
        </w:rPr>
        <w:t>По итогам 6-ти месяцев 2024 года количество ДТП с участием детей по сравнению с показателями аналогичного периода прошлого года увеличилось на 8,3%, число раненных в них несовершеннолетних на 9,8%, погибших нет.</w:t>
      </w:r>
    </w:p>
    <w:p w:rsidR="00CC08F9" w:rsidRDefault="00CC08F9" w:rsidP="00CC08F9">
      <w:pPr>
        <w:spacing w:line="276" w:lineRule="auto"/>
        <w:ind w:firstLine="709"/>
        <w:contextualSpacing/>
        <w:jc w:val="both"/>
        <w:rPr>
          <w:i/>
        </w:rPr>
      </w:pPr>
      <w:r>
        <w:rPr>
          <w:i/>
        </w:rPr>
        <w:t>23 несовершеннолетних пострадали в ДТП в качестве пешеходов (41,1% от общего количества пострадавших в ДТП детей), 21 – являясь пассажирами (37,5%), 9 – велосипедистами (16,1%) и 3 – лицами, управляющими</w:t>
      </w:r>
      <w:r>
        <w:rPr>
          <w:i/>
        </w:rPr>
        <w:t xml:space="preserve"> средствами </w:t>
      </w:r>
      <w:r>
        <w:rPr>
          <w:i/>
        </w:rPr>
        <w:t>индивидуальной мобильности (5,4%)</w:t>
      </w:r>
    </w:p>
    <w:p w:rsidR="00CC08F9" w:rsidRDefault="00CC08F9" w:rsidP="00CC08F9">
      <w:pPr>
        <w:spacing w:line="276" w:lineRule="auto"/>
        <w:ind w:firstLine="709"/>
        <w:contextualSpacing/>
        <w:jc w:val="both"/>
        <w:rPr>
          <w:i/>
        </w:rPr>
      </w:pPr>
      <w:r>
        <w:rPr>
          <w:i/>
        </w:rPr>
        <w:t>41 ДТП (78,8% от всех ДТП с участием детей), в которых пострадали дети, совершены по вине водителей транспортных средств, 13 ДТП по неосторожности велосипедистов, 5 ДТП по н</w:t>
      </w:r>
      <w:r>
        <w:rPr>
          <w:i/>
        </w:rPr>
        <w:t xml:space="preserve">еосторожности пешеходов, 2 ДТП </w:t>
      </w:r>
      <w:bookmarkStart w:id="0" w:name="_GoBack"/>
      <w:bookmarkEnd w:id="0"/>
      <w:r>
        <w:rPr>
          <w:i/>
        </w:rPr>
        <w:t>по неосторожности детей, управляющих средствами индивидуальной мобильности</w:t>
      </w:r>
    </w:p>
    <w:p w:rsidR="00CC08F9" w:rsidRDefault="00CC08F9" w:rsidP="00CC08F9">
      <w:pPr>
        <w:spacing w:line="276" w:lineRule="auto"/>
        <w:ind w:firstLine="709"/>
        <w:contextualSpacing/>
        <w:jc w:val="both"/>
        <w:rPr>
          <w:i/>
        </w:rPr>
      </w:pPr>
      <w:r>
        <w:rPr>
          <w:i/>
        </w:rPr>
        <w:t>Одной из наиболее травмирующих возрастных групп является группа детей в возрасте от 10 до 14 лет (20 несовершеннолетних, 35,7%).</w:t>
      </w:r>
    </w:p>
    <w:p w:rsidR="00CC08F9" w:rsidRDefault="00CC08F9" w:rsidP="00CC08F9">
      <w:pPr>
        <w:spacing w:line="276" w:lineRule="auto"/>
        <w:ind w:firstLine="709"/>
        <w:contextualSpacing/>
        <w:jc w:val="both"/>
        <w:rPr>
          <w:i/>
        </w:rPr>
      </w:pPr>
      <w:r>
        <w:rPr>
          <w:i/>
        </w:rPr>
        <w:t>Аварийными днями недели для детей и подростков за 6 месяцев 2024 года стали: суббота (10ДТП) и среда (9 ДТП). Аварийным временем суток является вторая половина дня: с 13:00 до 19:00 (27 ДТП).</w:t>
      </w:r>
    </w:p>
    <w:p w:rsidR="00CC08F9" w:rsidRDefault="00CC08F9" w:rsidP="00CC08F9">
      <w:pPr>
        <w:spacing w:line="276" w:lineRule="auto"/>
        <w:ind w:firstLine="709"/>
        <w:contextualSpacing/>
        <w:jc w:val="both"/>
        <w:rPr>
          <w:i/>
        </w:rPr>
      </w:pPr>
      <w:r>
        <w:rPr>
          <w:i/>
        </w:rPr>
        <w:t>7 ДТП с участием несовершеннолетних произошли на тротуарах и пешеходных дорожках (13,5%), 6 ДТП произошли на регулируемых пешеходных переходах (11,5%), 12 ДТП в жилой зоне (23,1%), 26 происшествий произошли в прочих местах (50%), ещё 1 ДТП произошло на велосипедной дорожке (1,9%)</w:t>
      </w:r>
    </w:p>
    <w:p w:rsidR="00CC08F9" w:rsidRDefault="00CC08F9" w:rsidP="00CC08F9">
      <w:pPr>
        <w:spacing w:line="276" w:lineRule="auto"/>
        <w:ind w:firstLine="709"/>
        <w:contextualSpacing/>
        <w:jc w:val="both"/>
        <w:rPr>
          <w:i/>
        </w:rPr>
      </w:pPr>
      <w:r>
        <w:rPr>
          <w:i/>
        </w:rPr>
        <w:t xml:space="preserve">На маршруте «дом-школа-дом» зарегистрировано 6 ДТП с участием детей-пешеходов (МБУ: №18 (ул. </w:t>
      </w:r>
      <w:proofErr w:type="spellStart"/>
      <w:r>
        <w:rPr>
          <w:i/>
        </w:rPr>
        <w:t>Мурысева</w:t>
      </w:r>
      <w:proofErr w:type="spellEnd"/>
      <w:r>
        <w:rPr>
          <w:i/>
        </w:rPr>
        <w:t>, 89а) №39 (ул. Громовой, 38), №73 (ул. Юбилейная, 81), №80 (</w:t>
      </w:r>
      <w:proofErr w:type="spellStart"/>
      <w:r>
        <w:rPr>
          <w:i/>
        </w:rPr>
        <w:t>Мурысева</w:t>
      </w:r>
      <w:proofErr w:type="spellEnd"/>
      <w:r>
        <w:rPr>
          <w:i/>
        </w:rPr>
        <w:t>, 49), №84 (Цветной б-р., 18) и «ОЦ «Галактика</w:t>
      </w:r>
      <w:r w:rsidRPr="009576F5">
        <w:rPr>
          <w:i/>
        </w:rPr>
        <w:t>»</w:t>
      </w:r>
      <w:r>
        <w:rPr>
          <w:i/>
        </w:rPr>
        <w:t xml:space="preserve"> (ул. Тополиная, 5))</w:t>
      </w:r>
      <w:r w:rsidRPr="009576F5">
        <w:rPr>
          <w:i/>
        </w:rPr>
        <w:t>.</w:t>
      </w:r>
    </w:p>
    <w:p w:rsidR="00CC08F9" w:rsidRDefault="00CC08F9" w:rsidP="00CC08F9">
      <w:pPr>
        <w:spacing w:line="276" w:lineRule="auto"/>
        <w:ind w:firstLine="709"/>
        <w:contextualSpacing/>
        <w:jc w:val="both"/>
        <w:rPr>
          <w:i/>
        </w:rPr>
      </w:pPr>
      <w:r>
        <w:rPr>
          <w:i/>
        </w:rPr>
        <w:t xml:space="preserve">Видами нарушений ПДД РФ со стороны водителей транспортных средств, ставших виновниками дорожно-транспортных происшествий, в которых пострадали несовершеннолетние, явились: </w:t>
      </w:r>
      <w:proofErr w:type="spellStart"/>
      <w:r>
        <w:rPr>
          <w:i/>
        </w:rPr>
        <w:t>непредоставление</w:t>
      </w:r>
      <w:proofErr w:type="spellEnd"/>
      <w:r>
        <w:rPr>
          <w:i/>
        </w:rPr>
        <w:t xml:space="preserve"> преимущества в движении пешеходу (11 ДТП), несоблюдение очередности проезда (8 ДТП), нарушение правила расположения транспортного средства на проезжей части (6 ДТП), неправильный выбор дистанции (6 ДТП), нарушение требований сигнала светофора (3 ДТП), несоблюдение условий, разрешающих движение транспорта задним ходом (2 ДТП), невыполнение требований обеспечения безопасности при начале движения (2 ДТП), нарушение правил перестроения (1 ДТП)».</w:t>
      </w:r>
    </w:p>
    <w:p w:rsidR="00FA6889" w:rsidRDefault="00FA6889"/>
    <w:sectPr w:rsidR="00FA6889" w:rsidSect="00CC08F9">
      <w:pgSz w:w="11906" w:h="16838"/>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08F9"/>
    <w:rsid w:val="00027E56"/>
    <w:rsid w:val="00CC08F9"/>
    <w:rsid w:val="00FA68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E29BF95-D8F9-45B0-871B-6A7D3923DE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C08F9"/>
    <w:rPr>
      <w:rFonts w:ascii="Times New Roman" w:eastAsia="Calibri" w:hAnsi="Times New Roman" w:cs="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331</Words>
  <Characters>1887</Characters>
  <Application>Microsoft Office Word</Application>
  <DocSecurity>0</DocSecurity>
  <Lines>15</Lines>
  <Paragraphs>4</Paragraphs>
  <ScaleCrop>false</ScaleCrop>
  <Company>Hewlett-Packard Company</Company>
  <LinksUpToDate>false</LinksUpToDate>
  <CharactersWithSpaces>2214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2024-07-24T05:17:00Z</dcterms:created>
  <dcterms:modified xsi:type="dcterms:W3CDTF">2024-07-24T05:17:00Z</dcterms:modified>
</cp:coreProperties>
</file>